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rPr>
          <w:sz w:val="28"/>
        </w:rPr>
      </w:pPr>
      <w:r>
        <w:rPr>
          <w:sz w:val="28"/>
        </w:rPr>
        <w:t xml:space="preserve">Схема соединения  АТМ-2 и TC220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8748"/>
        <w:tblInd w:type="dxa" w:w="-108"/>
      </w:tblPr>
      <w:tblGrid>
        <w:gridCol w:w="5211"/>
        <w:gridCol w:w="3537"/>
      </w:tblGrid>
      <w:tr>
        <w:trPr>
          <w:tblCellMar/>
          <w:trHeight w:val="274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АТМ</w:t>
            </w: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TC220</w:t>
            </w:r>
          </w:p>
        </w:tc>
      </w:tr>
      <w:tr>
        <w:trPr>
          <w:tblCellMar/>
          <w:trHeight w:val="274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2(Rx)</w:t>
            </w: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5(Rx)</w:t>
            </w:r>
          </w:p>
        </w:tc>
      </w:tr>
      <w:tr>
        <w:trPr>
          <w:tblCellMar/>
          <w:trHeight w:val="274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3(Tx)</w:t>
            </w: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3(Tx)</w:t>
            </w:r>
          </w:p>
        </w:tc>
      </w:tr>
      <w:tr>
        <w:trPr>
          <w:tblCellMar/>
          <w:trHeight w:val="274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5(GND)</w:t>
            </w: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2(GND)</w:t>
            </w:r>
          </w:p>
        </w:tc>
      </w:tr>
      <w:tr>
        <w:trPr>
          <w:tblCellMar/>
          <w:trHeight w:val="291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GPIO3(выход)</w:t>
            </w:r>
          </w:p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 xml:space="preserve">+ резистор 500 Ом(при питании +10В)</w:t>
            </w:r>
          </w:p>
          <w:p>
            <w:pPr>
              <w:pStyle w:val="0"/>
              <w:rPr>
                <w:sz w:val="28"/>
              </w:rPr>
            </w:pP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  <w:r>
              <w:rPr>
                <w:sz w:val="28"/>
              </w:rPr>
              <w:t>6(DSR)+1(Uext)</w:t>
            </w:r>
          </w:p>
        </w:tc>
      </w:tr>
      <w:tr>
        <w:trPr>
          <w:tblCellMar/>
          <w:trHeight w:val="291" w:hRule="atLeast"/>
        </w:trPr>
        <w:tblPrEx>
          <w:tblCellMar/>
        </w:tblPrEx>
        <w:tc>
          <w:tcPr>
            <w:tcW w:type="dxa" w:w="5211"/>
          </w:tcPr>
          <w:p>
            <w:pPr>
              <w:pStyle w:val="0"/>
              <w:rPr>
                <w:sz w:val="28"/>
              </w:rPr>
            </w:pPr>
          </w:p>
        </w:tc>
        <w:tc>
          <w:tcPr>
            <w:tcW w:type="dxa" w:w="3537"/>
          </w:tcPr>
          <w:p>
            <w:pPr>
              <w:pStyle w:val="0"/>
              <w:rPr>
                <w:sz w:val="28"/>
              </w:rPr>
            </w:pPr>
          </w:p>
        </w:tc>
      </w:tr>
    </w:tbl>
    <w:p>
      <w:pPr>
        <w:pStyle w:val="0"/>
      </w:pPr>
    </w:p>
    <w:p>
      <w:pPr>
        <w:pStyle w:val="0"/>
      </w:pPr>
      <w:r>
        <w:drawing>
          <wp:inline>
            <wp:extent cy="4439285" cx="4590415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4439285" cx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</w:p>
    <w:p>
      <w:pPr>
        <w:pStyle w:val="0"/>
      </w:pPr>
      <w:r>
        <w:br w:type="page"/>
      </w:r>
    </w:p>
    <w:sectPr>
      <w:pgSz w:w="11906" w:h="16838"/>
      <w:pgMar w:top="899" w:bottom="1134" w:left="1260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pn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Схема соединения (копия 1).docx</dc:title>
</cp:coreProperties>
</file>