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3" w:rsidRPr="00A404F3" w:rsidRDefault="00A404F3" w:rsidP="00A404F3">
      <w:pPr>
        <w:shd w:val="clear" w:color="auto" w:fill="EDEDE5"/>
        <w:spacing w:after="240" w:line="270" w:lineRule="atLeast"/>
        <w:outlineLvl w:val="0"/>
        <w:rPr>
          <w:rFonts w:ascii="Trebuchet MS" w:eastAsia="Times New Roman" w:hAnsi="Trebuchet MS" w:cs="Times New Roman"/>
          <w:b/>
          <w:bCs/>
          <w:color w:val="F36628"/>
          <w:kern w:val="36"/>
          <w:sz w:val="33"/>
          <w:szCs w:val="33"/>
          <w:lang w:eastAsia="ru-RU"/>
        </w:rPr>
      </w:pPr>
      <w:r w:rsidRPr="00A404F3">
        <w:rPr>
          <w:rFonts w:ascii="Trebuchet MS" w:eastAsia="Times New Roman" w:hAnsi="Trebuchet MS" w:cs="Times New Roman"/>
          <w:b/>
          <w:bCs/>
          <w:color w:val="F36628"/>
          <w:kern w:val="36"/>
          <w:sz w:val="33"/>
          <w:szCs w:val="33"/>
          <w:lang w:eastAsia="ru-RU"/>
        </w:rPr>
        <w:t>НЕВА МТ314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"/>
      </w:tblGrid>
      <w:tr w:rsidR="00A404F3" w:rsidRPr="00A404F3" w:rsidTr="00A404F3">
        <w:trPr>
          <w:tblCellSpacing w:w="0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4F3" w:rsidRPr="00A404F3" w:rsidRDefault="00A404F3" w:rsidP="00A404F3">
            <w:pPr>
              <w:spacing w:after="0" w:line="240" w:lineRule="auto"/>
              <w:divId w:val="12389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225DBE"/>
                <w:sz w:val="24"/>
                <w:szCs w:val="24"/>
                <w:lang w:eastAsia="ru-RU"/>
              </w:rPr>
              <w:drawing>
                <wp:inline distT="0" distB="0" distL="0" distR="0">
                  <wp:extent cx="1537877" cy="2174240"/>
                  <wp:effectExtent l="0" t="0" r="5715" b="0"/>
                  <wp:docPr id="1" name="Рисунок 1" descr="НЕВА МТ31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ВА МТ31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77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4F3" w:rsidRPr="00A404F3" w:rsidRDefault="00A404F3" w:rsidP="00A404F3">
      <w:pPr>
        <w:shd w:val="clear" w:color="auto" w:fill="EDEDE5"/>
        <w:spacing w:after="240" w:line="270" w:lineRule="atLeast"/>
        <w:jc w:val="both"/>
        <w:rPr>
          <w:rFonts w:ascii="Tahoma" w:eastAsia="Times New Roman" w:hAnsi="Tahoma" w:cs="Tahoma"/>
          <w:color w:val="413D3F"/>
          <w:sz w:val="18"/>
          <w:szCs w:val="18"/>
          <w:lang w:eastAsia="ru-RU"/>
        </w:rPr>
      </w:pP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ahoma" w:eastAsia="Times New Roman" w:hAnsi="Tahoma" w:cs="Tahoma"/>
          <w:color w:val="413D3F"/>
          <w:sz w:val="18"/>
          <w:szCs w:val="18"/>
          <w:lang w:eastAsia="ru-RU"/>
        </w:rPr>
      </w:pPr>
      <w:r w:rsidRPr="00A404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Функции: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- Измерение энергии активной и реактивной, параметров сети U, I, P, Q,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cosφ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, углов между векторами напряжений;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- Хранение 30-минутных профилей A, R+, R- мощностей в течение 128 суток;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- Измерение  и хранение значений активной и реактивной энергии, в том числе по тарифам, на конец месяца, в течение 12 месяцев;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- Измерение и хранение значений активной и реактивной энергии, потребленной на конец суток, в течение 128 суток;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- Измерение и хранение максимальных мощностей за месяц, усреднённых на заданном интервале, за месяц и по тарифным зонам, с глубиной хранения информации 12 месяцев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- Индикация наличия нагрузки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пофазно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, наличия фазных напряжений, текущего тарифа, тарифного расписания на текущие сутки;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- Журналы событий записи параметров, изменения даты и времени, вскрытия крышки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клеммной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 колодки, отсутствия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фазных напряжений и токов, пропадания напряжения питания и сильных электромагнитных воздействий на счетчик со статусом журнала событий, (для проверки факта изменений в журналах событий достаточно считать статусный байт);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- Индикация измеренных значений при отсутствии внешнего питания;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4"/>
          <w:szCs w:val="24"/>
          <w:lang w:eastAsia="ru-RU"/>
        </w:rPr>
        <w:t> 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Аппаратная защита разрешения записи и электронная пломба крышки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клеммной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 колодки.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Промежуточное реле управления нагрузкой с индикацией включения реле.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Температурная компенсация измерительных каналов для компенсации температурного дрейфа при измерениях, что позволяет измерять энергию с </w:t>
      </w:r>
      <w:proofErr w:type="spellStart"/>
      <w:proofErr w:type="gram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с</w:t>
      </w:r>
      <w:proofErr w:type="spellEnd"/>
      <w:proofErr w:type="gram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 погрешностью не более 1.0 %  в рабочем диапазоне температур.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Температурная коррекция характеристики кварцевого генератора, для обеспечения точности хода часов в рабочем диапазоне температур не более 1 с/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сут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 (обычный счётчик, при температуре окружающего воздуха  минус 40°C имеет точность хода часов около 10 с/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сут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).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Наличие индикации при отсутствии внешнего питания;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Широкий диапазон рабочих напряжений от 50 В.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Счетчики в течени</w:t>
      </w:r>
      <w:proofErr w:type="gram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и</w:t>
      </w:r>
      <w:proofErr w:type="gram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 длительного времени выдерживают воздействие входного напряжения равного 1,9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Uном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Интерфейс RS-485, работающий от блока питания счетчика.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Наличие оптического порта для локального программирования.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 xml:space="preserve">Наличие исполнений с модемами PLC &amp; RF, </w:t>
      </w:r>
      <w:proofErr w:type="spellStart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ZigBee</w:t>
      </w:r>
      <w:proofErr w:type="spellEnd"/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imes New Roman" w:eastAsia="Times New Roman" w:hAnsi="Times New Roman" w:cs="Times New Roman"/>
          <w:color w:val="413D3F"/>
          <w:sz w:val="24"/>
          <w:szCs w:val="24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Подсветка ЖКИ.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ahoma" w:eastAsia="Times New Roman" w:hAnsi="Tahoma" w:cs="Tahoma"/>
          <w:color w:val="413D3F"/>
          <w:sz w:val="18"/>
          <w:szCs w:val="18"/>
          <w:lang w:eastAsia="ru-RU"/>
        </w:rPr>
      </w:pPr>
      <w:r w:rsidRPr="00A404F3">
        <w:rPr>
          <w:rFonts w:ascii="Tahoma" w:eastAsia="Times New Roman" w:hAnsi="Tahoma" w:cs="Tahoma"/>
          <w:color w:val="413D3F"/>
          <w:sz w:val="20"/>
          <w:szCs w:val="20"/>
          <w:lang w:eastAsia="ru-RU"/>
        </w:rPr>
        <w:t>Протокол обмена DLMS в соответствии с рекомендациями COSEM.</w:t>
      </w:r>
    </w:p>
    <w:p w:rsidR="00A404F3" w:rsidRPr="00A404F3" w:rsidRDefault="00A404F3" w:rsidP="00A404F3">
      <w:pPr>
        <w:shd w:val="clear" w:color="auto" w:fill="EDEDE5"/>
        <w:spacing w:after="0" w:line="27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9987" w:type="dxa"/>
        <w:tblCellSpacing w:w="22" w:type="dxa"/>
        <w:tblInd w:w="-107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06"/>
        <w:gridCol w:w="1404"/>
        <w:gridCol w:w="1601"/>
        <w:gridCol w:w="1403"/>
        <w:gridCol w:w="1266"/>
        <w:gridCol w:w="1312"/>
      </w:tblGrid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НЕВА </w:t>
            </w: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МТ314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 PLRFSR 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трансформ. 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  <w:tc>
          <w:tcPr>
            <w:tcW w:w="13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НЕВА МТ314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AR PLRFSR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  <w:tc>
          <w:tcPr>
            <w:tcW w:w="15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НЕВА МТ314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AR E4SR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трансформ.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  <w:tc>
          <w:tcPr>
            <w:tcW w:w="13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НЕВА МТ314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AR E4SR 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  <w:tc>
          <w:tcPr>
            <w:tcW w:w="12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НЕВА </w:t>
            </w: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МТ314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 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трансформ.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  <w:tc>
          <w:tcPr>
            <w:tcW w:w="1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НЕВА </w:t>
            </w: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МТ314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 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подкл-ия</w:t>
            </w:r>
            <w:proofErr w:type="spellEnd"/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 точности акт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еакт.</w:t>
            </w:r>
          </w:p>
        </w:tc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0,5S/1; 1/2</w:t>
            </w:r>
          </w:p>
        </w:tc>
        <w:tc>
          <w:tcPr>
            <w:tcW w:w="13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0,5S/1; 1/2</w:t>
            </w:r>
          </w:p>
        </w:tc>
        <w:tc>
          <w:tcPr>
            <w:tcW w:w="13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2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0,5S/1; 1/2</w:t>
            </w:r>
          </w:p>
        </w:tc>
        <w:tc>
          <w:tcPr>
            <w:tcW w:w="1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3х230/400 или 3х57,7/100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диапазон напряжений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Unom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± 20%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лощадь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сеч-я проводников, мм²</w:t>
            </w:r>
          </w:p>
        </w:tc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Рабочий диапазон частот, 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± 2,5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или /номинальный    </w:t>
            </w: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(максимальный) ток, А</w:t>
            </w:r>
          </w:p>
        </w:tc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5(10); /1(2)</w:t>
            </w:r>
          </w:p>
        </w:tc>
        <w:tc>
          <w:tcPr>
            <w:tcW w:w="13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5(60); 5(100)</w:t>
            </w:r>
          </w:p>
        </w:tc>
        <w:tc>
          <w:tcPr>
            <w:tcW w:w="15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5(10); /1(2)</w:t>
            </w:r>
          </w:p>
        </w:tc>
        <w:tc>
          <w:tcPr>
            <w:tcW w:w="13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5(60); 5(100)</w:t>
            </w:r>
          </w:p>
        </w:tc>
        <w:tc>
          <w:tcPr>
            <w:tcW w:w="12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5(10); /1(2)</w:t>
            </w:r>
          </w:p>
        </w:tc>
        <w:tc>
          <w:tcPr>
            <w:tcW w:w="1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5(60); 5(100)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Разрядность показаний</w:t>
            </w:r>
          </w:p>
        </w:tc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00000,000</w:t>
            </w:r>
          </w:p>
        </w:tc>
        <w:tc>
          <w:tcPr>
            <w:tcW w:w="13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000000,00</w:t>
            </w:r>
          </w:p>
        </w:tc>
        <w:tc>
          <w:tcPr>
            <w:tcW w:w="15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00000,000</w:t>
            </w:r>
          </w:p>
        </w:tc>
        <w:tc>
          <w:tcPr>
            <w:tcW w:w="13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000000,00</w:t>
            </w:r>
          </w:p>
        </w:tc>
        <w:tc>
          <w:tcPr>
            <w:tcW w:w="12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00000,000</w:t>
            </w:r>
          </w:p>
        </w:tc>
        <w:tc>
          <w:tcPr>
            <w:tcW w:w="1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000000,00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Точность хода часов, с/</w:t>
            </w:r>
            <w:proofErr w:type="spell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в рабочем диапазоне температур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тарифов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тарифных зон суток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сезонов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исключительных дней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Тарификация в будни, </w:t>
            </w:r>
            <w:proofErr w:type="spellStart"/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Раздельная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266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Оптопорт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RS-485 + PL+</w:t>
            </w:r>
          </w:p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RF-433 </w:t>
            </w: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</w:p>
        </w:tc>
        <w:tc>
          <w:tcPr>
            <w:tcW w:w="296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Оптопорт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RS-485</w:t>
            </w:r>
          </w:p>
        </w:tc>
        <w:tc>
          <w:tcPr>
            <w:tcW w:w="25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Оптопорт</w:t>
            </w:r>
            <w:proofErr w:type="spell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RS-485</w:t>
            </w: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ZigBee</w:t>
            </w:r>
            <w:proofErr w:type="spellEnd"/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Скорость обмена, Бод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Протокол обмена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МЭК 61107-2001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Установочные размеры, 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140...155-165..187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227х170х64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МПИ, лет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Датчик тока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винта</w:t>
            </w:r>
          </w:p>
        </w:tc>
      </w:tr>
      <w:tr w:rsidR="00A404F3" w:rsidRPr="00A404F3" w:rsidTr="00A404F3">
        <w:trPr>
          <w:tblCellSpacing w:w="22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диапазон температур, °C</w:t>
            </w:r>
          </w:p>
        </w:tc>
        <w:tc>
          <w:tcPr>
            <w:tcW w:w="822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04F3" w:rsidRPr="00A404F3" w:rsidRDefault="00A404F3" w:rsidP="00A4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-40... +60</w:t>
            </w:r>
          </w:p>
        </w:tc>
      </w:tr>
    </w:tbl>
    <w:p w:rsidR="00EF3E93" w:rsidRDefault="00EF3E93"/>
    <w:sectPr w:rsidR="00EF3E93" w:rsidSect="00A40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3"/>
    <w:rsid w:val="00A404F3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4F3"/>
  </w:style>
  <w:style w:type="paragraph" w:styleId="a3">
    <w:name w:val="Balloon Text"/>
    <w:basedOn w:val="a"/>
    <w:link w:val="a4"/>
    <w:uiPriority w:val="99"/>
    <w:semiHidden/>
    <w:unhideWhenUsed/>
    <w:rsid w:val="00A4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4F3"/>
  </w:style>
  <w:style w:type="paragraph" w:styleId="a3">
    <w:name w:val="Balloon Text"/>
    <w:basedOn w:val="a"/>
    <w:link w:val="a4"/>
    <w:uiPriority w:val="99"/>
    <w:semiHidden/>
    <w:unhideWhenUsed/>
    <w:rsid w:val="00A4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eters.taipit.ru/upload/iblock/34e/34efeeede2f14b6f8a74e2845477b70f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2014-08-14T00:40:00Z</dcterms:created>
  <dcterms:modified xsi:type="dcterms:W3CDTF">2014-08-14T00:41:00Z</dcterms:modified>
</cp:coreProperties>
</file>